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77693863"/>
        <w:docPartObj>
          <w:docPartGallery w:val="Table of Contents"/>
          <w:docPartUnique/>
        </w:docPartObj>
      </w:sdtPr>
      <w:sdtEndPr>
        <w:rPr>
          <w:rFonts w:ascii="Arial" w:eastAsiaTheme="minorEastAsia" w:hAnsi="Arial" w:cs="Arial"/>
          <w:color w:val="auto"/>
          <w:sz w:val="24"/>
          <w:szCs w:val="24"/>
          <w:lang w:eastAsia="ja-JP"/>
        </w:rPr>
      </w:sdtEndPr>
      <w:sdtContent>
        <w:p w:rsidR="00D23A89" w:rsidRDefault="00D23A89" w:rsidP="00D23A89">
          <w:pPr>
            <w:pStyle w:val="TtulodeTDC"/>
            <w:jc w:val="center"/>
            <w:rPr>
              <w:rFonts w:ascii="Arial" w:hAnsi="Arial" w:cs="Arial"/>
              <w:sz w:val="36"/>
              <w:szCs w:val="36"/>
              <w:lang w:val="es-ES"/>
            </w:rPr>
          </w:pPr>
          <w:r w:rsidRPr="00D23A89">
            <w:rPr>
              <w:rFonts w:ascii="Arial" w:hAnsi="Arial" w:cs="Arial"/>
              <w:sz w:val="36"/>
              <w:szCs w:val="36"/>
              <w:lang w:val="es-ES"/>
            </w:rPr>
            <w:t>CONTENIDO</w:t>
          </w:r>
        </w:p>
        <w:p w:rsidR="00D23A89" w:rsidRPr="00D23A89" w:rsidRDefault="00D23A89" w:rsidP="00D23A89">
          <w:pPr>
            <w:rPr>
              <w:lang w:eastAsia="es-MX"/>
            </w:rPr>
          </w:pPr>
          <w:bookmarkStart w:id="0" w:name="_GoBack"/>
          <w:bookmarkEnd w:id="0"/>
        </w:p>
        <w:p w:rsidR="00D23A89" w:rsidRPr="00D23A89" w:rsidRDefault="00D23A89" w:rsidP="00D23A89">
          <w:pPr>
            <w:pStyle w:val="TDC1"/>
            <w:tabs>
              <w:tab w:val="left" w:pos="440"/>
              <w:tab w:val="right" w:leader="dot" w:pos="8830"/>
            </w:tabs>
            <w:jc w:val="both"/>
            <w:rPr>
              <w:rFonts w:ascii="Arial" w:hAnsi="Arial" w:cs="Arial"/>
              <w:noProof/>
              <w:color w:val="auto"/>
              <w:szCs w:val="24"/>
              <w:lang w:val="es-MX" w:eastAsia="es-MX"/>
            </w:rPr>
          </w:pPr>
          <w:r w:rsidRPr="00D23A89">
            <w:rPr>
              <w:rFonts w:ascii="Arial" w:hAnsi="Arial" w:cs="Arial"/>
              <w:color w:val="auto"/>
              <w:szCs w:val="24"/>
            </w:rPr>
            <w:fldChar w:fldCharType="begin"/>
          </w:r>
          <w:r w:rsidRPr="00D23A89">
            <w:rPr>
              <w:rFonts w:ascii="Arial" w:hAnsi="Arial" w:cs="Arial"/>
              <w:color w:val="auto"/>
              <w:szCs w:val="24"/>
            </w:rPr>
            <w:instrText xml:space="preserve"> TOC \o "1-3" \h \z \u </w:instrText>
          </w:r>
          <w:r w:rsidRPr="00D23A89">
            <w:rPr>
              <w:rFonts w:ascii="Arial" w:hAnsi="Arial" w:cs="Arial"/>
              <w:color w:val="auto"/>
              <w:szCs w:val="24"/>
            </w:rPr>
            <w:fldChar w:fldCharType="separate"/>
          </w:r>
          <w:hyperlink w:anchor="_Toc29981005" w:history="1">
            <w:r w:rsidRPr="00D23A89">
              <w:rPr>
                <w:rStyle w:val="Hipervnculo"/>
                <w:rFonts w:ascii="Arial" w:hAnsi="Arial" w:cs="Arial"/>
                <w:noProof/>
                <w:color w:val="auto"/>
                <w:szCs w:val="24"/>
              </w:rPr>
              <w:t>1.</w:t>
            </w:r>
            <w:r w:rsidRPr="00D23A89">
              <w:rPr>
                <w:rFonts w:ascii="Arial" w:hAnsi="Arial" w:cs="Arial"/>
                <w:noProof/>
                <w:color w:val="auto"/>
                <w:szCs w:val="24"/>
                <w:lang w:val="es-MX" w:eastAsia="es-MX"/>
              </w:rPr>
              <w:tab/>
            </w:r>
            <w:r w:rsidRPr="00D23A89">
              <w:rPr>
                <w:rStyle w:val="Hipervnculo"/>
                <w:rFonts w:ascii="Arial" w:hAnsi="Arial" w:cs="Arial"/>
                <w:noProof/>
                <w:color w:val="auto"/>
                <w:szCs w:val="24"/>
              </w:rPr>
              <w:t>TESIS AISLADAS EN MATERIA FAMILIAR</w:t>
            </w:r>
            <w:r w:rsidRPr="00D23A89">
              <w:rPr>
                <w:rFonts w:ascii="Arial" w:hAnsi="Arial" w:cs="Arial"/>
                <w:noProof/>
                <w:webHidden/>
                <w:color w:val="auto"/>
                <w:szCs w:val="24"/>
              </w:rPr>
              <w:tab/>
            </w:r>
            <w:r w:rsidRPr="00D23A89">
              <w:rPr>
                <w:rFonts w:ascii="Arial" w:hAnsi="Arial" w:cs="Arial"/>
                <w:noProof/>
                <w:webHidden/>
                <w:color w:val="auto"/>
                <w:szCs w:val="24"/>
              </w:rPr>
              <w:fldChar w:fldCharType="begin"/>
            </w:r>
            <w:r w:rsidRPr="00D23A89">
              <w:rPr>
                <w:rFonts w:ascii="Arial" w:hAnsi="Arial" w:cs="Arial"/>
                <w:noProof/>
                <w:webHidden/>
                <w:color w:val="auto"/>
                <w:szCs w:val="24"/>
              </w:rPr>
              <w:instrText xml:space="preserve"> PAGEREF _Toc29981005 \h </w:instrText>
            </w:r>
            <w:r w:rsidRPr="00D23A89">
              <w:rPr>
                <w:rFonts w:ascii="Arial" w:hAnsi="Arial" w:cs="Arial"/>
                <w:noProof/>
                <w:webHidden/>
                <w:color w:val="auto"/>
                <w:szCs w:val="24"/>
              </w:rPr>
            </w:r>
            <w:r w:rsidRPr="00D23A89">
              <w:rPr>
                <w:rFonts w:ascii="Arial" w:hAnsi="Arial" w:cs="Arial"/>
                <w:noProof/>
                <w:webHidden/>
                <w:color w:val="auto"/>
                <w:szCs w:val="24"/>
              </w:rPr>
              <w:fldChar w:fldCharType="separate"/>
            </w:r>
            <w:r w:rsidRPr="00D23A89">
              <w:rPr>
                <w:rFonts w:ascii="Arial" w:hAnsi="Arial" w:cs="Arial"/>
                <w:noProof/>
                <w:webHidden/>
                <w:color w:val="auto"/>
                <w:szCs w:val="24"/>
              </w:rPr>
              <w:t>2</w:t>
            </w:r>
            <w:r w:rsidRPr="00D23A89">
              <w:rPr>
                <w:rFonts w:ascii="Arial" w:hAnsi="Arial" w:cs="Arial"/>
                <w:noProof/>
                <w:webHidden/>
                <w:color w:val="auto"/>
                <w:szCs w:val="24"/>
              </w:rPr>
              <w:fldChar w:fldCharType="end"/>
            </w:r>
          </w:hyperlink>
        </w:p>
        <w:p w:rsidR="00D23A89" w:rsidRPr="00D23A89" w:rsidRDefault="00D23A89" w:rsidP="00D23A89">
          <w:pPr>
            <w:pStyle w:val="TDC2"/>
            <w:tabs>
              <w:tab w:val="left" w:pos="880"/>
              <w:tab w:val="right" w:leader="dot" w:pos="8830"/>
            </w:tabs>
            <w:jc w:val="both"/>
            <w:rPr>
              <w:rFonts w:ascii="Arial" w:eastAsiaTheme="minorEastAsia" w:hAnsi="Arial" w:cs="Arial"/>
              <w:noProof/>
              <w:sz w:val="24"/>
              <w:szCs w:val="24"/>
              <w:lang w:eastAsia="es-MX"/>
            </w:rPr>
          </w:pPr>
          <w:hyperlink w:anchor="_Toc29981006" w:history="1">
            <w:r w:rsidRPr="00D23A89">
              <w:rPr>
                <w:rStyle w:val="Hipervnculo"/>
                <w:rFonts w:ascii="Arial" w:hAnsi="Arial" w:cs="Arial"/>
                <w:noProof/>
                <w:color w:val="auto"/>
                <w:sz w:val="24"/>
                <w:szCs w:val="24"/>
              </w:rPr>
              <w:t>1.1</w:t>
            </w:r>
            <w:r w:rsidRPr="00D23A89">
              <w:rPr>
                <w:rFonts w:ascii="Arial" w:eastAsiaTheme="minorEastAsia" w:hAnsi="Arial" w:cs="Arial"/>
                <w:noProof/>
                <w:sz w:val="24"/>
                <w:szCs w:val="24"/>
                <w:lang w:eastAsia="es-MX"/>
              </w:rPr>
              <w:tab/>
            </w:r>
            <w:r w:rsidRPr="00D23A89">
              <w:rPr>
                <w:rStyle w:val="Hipervnculo"/>
                <w:rFonts w:ascii="Arial" w:hAnsi="Arial" w:cs="Arial"/>
                <w:noProof/>
                <w:color w:val="auto"/>
                <w:sz w:val="24"/>
                <w:szCs w:val="24"/>
              </w:rPr>
              <w:t>PRUEBA PERICIAL EN GENÉTICA MOLECULAR. SI EN SU DESAHOGO EL DEMANDADO OBSTACULIZA QUE SE RINDA EL PERITAJE DE RECONOCIMIENTO DE PATERNIDAD, NO OBSTANTE EL EMPLEO DE MEDIDAS DE APREMIO, EL JUZGADOR DEBE ANALIZAR LAS CONSTANCIAS DEL LITIGIO Y DETERMINAR SI SE JUSTIFICA ESA CONDUCTA (LEGISLACIÓN APLICABLE PARA LA CIUDAD DE MÉXICO).</w:t>
            </w:r>
            <w:r w:rsidRPr="00D23A89">
              <w:rPr>
                <w:rFonts w:ascii="Arial" w:hAnsi="Arial" w:cs="Arial"/>
                <w:noProof/>
                <w:webHidden/>
                <w:sz w:val="24"/>
                <w:szCs w:val="24"/>
              </w:rPr>
              <w:tab/>
            </w:r>
            <w:r w:rsidRPr="00D23A89">
              <w:rPr>
                <w:rFonts w:ascii="Arial" w:hAnsi="Arial" w:cs="Arial"/>
                <w:noProof/>
                <w:webHidden/>
                <w:sz w:val="24"/>
                <w:szCs w:val="24"/>
              </w:rPr>
              <w:fldChar w:fldCharType="begin"/>
            </w:r>
            <w:r w:rsidRPr="00D23A89">
              <w:rPr>
                <w:rFonts w:ascii="Arial" w:hAnsi="Arial" w:cs="Arial"/>
                <w:noProof/>
                <w:webHidden/>
                <w:sz w:val="24"/>
                <w:szCs w:val="24"/>
              </w:rPr>
              <w:instrText xml:space="preserve"> PAGEREF _Toc29981006 \h </w:instrText>
            </w:r>
            <w:r w:rsidRPr="00D23A89">
              <w:rPr>
                <w:rFonts w:ascii="Arial" w:hAnsi="Arial" w:cs="Arial"/>
                <w:noProof/>
                <w:webHidden/>
                <w:sz w:val="24"/>
                <w:szCs w:val="24"/>
              </w:rPr>
            </w:r>
            <w:r w:rsidRPr="00D23A89">
              <w:rPr>
                <w:rFonts w:ascii="Arial" w:hAnsi="Arial" w:cs="Arial"/>
                <w:noProof/>
                <w:webHidden/>
                <w:sz w:val="24"/>
                <w:szCs w:val="24"/>
              </w:rPr>
              <w:fldChar w:fldCharType="separate"/>
            </w:r>
            <w:r w:rsidRPr="00D23A89">
              <w:rPr>
                <w:rFonts w:ascii="Arial" w:hAnsi="Arial" w:cs="Arial"/>
                <w:noProof/>
                <w:webHidden/>
                <w:sz w:val="24"/>
                <w:szCs w:val="24"/>
              </w:rPr>
              <w:t>2</w:t>
            </w:r>
            <w:r w:rsidRPr="00D23A89">
              <w:rPr>
                <w:rFonts w:ascii="Arial" w:hAnsi="Arial" w:cs="Arial"/>
                <w:noProof/>
                <w:webHidden/>
                <w:sz w:val="24"/>
                <w:szCs w:val="24"/>
              </w:rPr>
              <w:fldChar w:fldCharType="end"/>
            </w:r>
          </w:hyperlink>
        </w:p>
        <w:p w:rsidR="00D23A89" w:rsidRPr="00D23A89" w:rsidRDefault="00D23A89" w:rsidP="00D23A89">
          <w:pPr>
            <w:pStyle w:val="TDC2"/>
            <w:tabs>
              <w:tab w:val="left" w:pos="880"/>
              <w:tab w:val="right" w:leader="dot" w:pos="8830"/>
            </w:tabs>
            <w:jc w:val="both"/>
            <w:rPr>
              <w:rFonts w:ascii="Arial" w:eastAsiaTheme="minorEastAsia" w:hAnsi="Arial" w:cs="Arial"/>
              <w:noProof/>
              <w:sz w:val="24"/>
              <w:szCs w:val="24"/>
              <w:lang w:eastAsia="es-MX"/>
            </w:rPr>
          </w:pPr>
          <w:hyperlink w:anchor="_Toc29981007" w:history="1">
            <w:r w:rsidRPr="00D23A89">
              <w:rPr>
                <w:rStyle w:val="Hipervnculo"/>
                <w:rFonts w:ascii="Arial" w:hAnsi="Arial" w:cs="Arial"/>
                <w:noProof/>
                <w:color w:val="auto"/>
                <w:sz w:val="24"/>
                <w:szCs w:val="24"/>
              </w:rPr>
              <w:t>1.2</w:t>
            </w:r>
            <w:r w:rsidRPr="00D23A89">
              <w:rPr>
                <w:rFonts w:ascii="Arial" w:eastAsiaTheme="minorEastAsia" w:hAnsi="Arial" w:cs="Arial"/>
                <w:noProof/>
                <w:sz w:val="24"/>
                <w:szCs w:val="24"/>
                <w:lang w:eastAsia="es-MX"/>
              </w:rPr>
              <w:tab/>
            </w:r>
            <w:r w:rsidRPr="00D23A89">
              <w:rPr>
                <w:rStyle w:val="Hipervnculo"/>
                <w:rFonts w:ascii="Arial" w:hAnsi="Arial" w:cs="Arial"/>
                <w:noProof/>
                <w:color w:val="auto"/>
                <w:sz w:val="24"/>
                <w:szCs w:val="24"/>
              </w:rPr>
              <w:t>PRUEBA PERICIAL EN GENÉTICA MOLECULAR. LA CONDUCTA EVASIVA DEL DEMANDADO PARA SU DESAHOGO, CONTRARÍA EL PRINCIPIO DE LEALTAD PROCESAL Y VULNERA EL DERECHO DEL MENOR DE EDAD PARA CONOCER SU IDENTIDAD PARENTAL.</w:t>
            </w:r>
            <w:r w:rsidRPr="00D23A89">
              <w:rPr>
                <w:rFonts w:ascii="Arial" w:hAnsi="Arial" w:cs="Arial"/>
                <w:noProof/>
                <w:webHidden/>
                <w:sz w:val="24"/>
                <w:szCs w:val="24"/>
              </w:rPr>
              <w:tab/>
            </w:r>
            <w:r w:rsidRPr="00D23A89">
              <w:rPr>
                <w:rFonts w:ascii="Arial" w:hAnsi="Arial" w:cs="Arial"/>
                <w:noProof/>
                <w:webHidden/>
                <w:sz w:val="24"/>
                <w:szCs w:val="24"/>
              </w:rPr>
              <w:fldChar w:fldCharType="begin"/>
            </w:r>
            <w:r w:rsidRPr="00D23A89">
              <w:rPr>
                <w:rFonts w:ascii="Arial" w:hAnsi="Arial" w:cs="Arial"/>
                <w:noProof/>
                <w:webHidden/>
                <w:sz w:val="24"/>
                <w:szCs w:val="24"/>
              </w:rPr>
              <w:instrText xml:space="preserve"> PAGEREF _Toc29981007 \h </w:instrText>
            </w:r>
            <w:r w:rsidRPr="00D23A89">
              <w:rPr>
                <w:rFonts w:ascii="Arial" w:hAnsi="Arial" w:cs="Arial"/>
                <w:noProof/>
                <w:webHidden/>
                <w:sz w:val="24"/>
                <w:szCs w:val="24"/>
              </w:rPr>
            </w:r>
            <w:r w:rsidRPr="00D23A89">
              <w:rPr>
                <w:rFonts w:ascii="Arial" w:hAnsi="Arial" w:cs="Arial"/>
                <w:noProof/>
                <w:webHidden/>
                <w:sz w:val="24"/>
                <w:szCs w:val="24"/>
              </w:rPr>
              <w:fldChar w:fldCharType="separate"/>
            </w:r>
            <w:r w:rsidRPr="00D23A89">
              <w:rPr>
                <w:rFonts w:ascii="Arial" w:hAnsi="Arial" w:cs="Arial"/>
                <w:noProof/>
                <w:webHidden/>
                <w:sz w:val="24"/>
                <w:szCs w:val="24"/>
              </w:rPr>
              <w:t>3</w:t>
            </w:r>
            <w:r w:rsidRPr="00D23A89">
              <w:rPr>
                <w:rFonts w:ascii="Arial" w:hAnsi="Arial" w:cs="Arial"/>
                <w:noProof/>
                <w:webHidden/>
                <w:sz w:val="24"/>
                <w:szCs w:val="24"/>
              </w:rPr>
              <w:fldChar w:fldCharType="end"/>
            </w:r>
          </w:hyperlink>
        </w:p>
        <w:p w:rsidR="00D23A89" w:rsidRPr="00D23A89" w:rsidRDefault="00D23A89" w:rsidP="00D23A89">
          <w:pPr>
            <w:pStyle w:val="TDC1"/>
            <w:tabs>
              <w:tab w:val="left" w:pos="440"/>
              <w:tab w:val="right" w:leader="dot" w:pos="8830"/>
            </w:tabs>
            <w:jc w:val="both"/>
            <w:rPr>
              <w:rFonts w:ascii="Arial" w:hAnsi="Arial" w:cs="Arial"/>
              <w:noProof/>
              <w:color w:val="auto"/>
              <w:szCs w:val="24"/>
              <w:lang w:val="es-MX" w:eastAsia="es-MX"/>
            </w:rPr>
          </w:pPr>
          <w:hyperlink w:anchor="_Toc29981008" w:history="1">
            <w:r w:rsidRPr="00D23A89">
              <w:rPr>
                <w:rStyle w:val="Hipervnculo"/>
                <w:rFonts w:ascii="Arial" w:hAnsi="Arial" w:cs="Arial"/>
                <w:noProof/>
                <w:color w:val="auto"/>
                <w:szCs w:val="24"/>
              </w:rPr>
              <w:t>2.</w:t>
            </w:r>
            <w:r w:rsidRPr="00D23A89">
              <w:rPr>
                <w:rFonts w:ascii="Arial" w:hAnsi="Arial" w:cs="Arial"/>
                <w:noProof/>
                <w:color w:val="auto"/>
                <w:szCs w:val="24"/>
                <w:lang w:val="es-MX" w:eastAsia="es-MX"/>
              </w:rPr>
              <w:tab/>
            </w:r>
            <w:r w:rsidRPr="00D23A89">
              <w:rPr>
                <w:rStyle w:val="Hipervnculo"/>
                <w:rFonts w:ascii="Arial" w:hAnsi="Arial" w:cs="Arial"/>
                <w:noProof/>
                <w:color w:val="auto"/>
                <w:szCs w:val="24"/>
              </w:rPr>
              <w:t>FUENTES CONSULTADAS</w:t>
            </w:r>
            <w:r w:rsidRPr="00D23A89">
              <w:rPr>
                <w:rFonts w:ascii="Arial" w:hAnsi="Arial" w:cs="Arial"/>
                <w:noProof/>
                <w:webHidden/>
                <w:color w:val="auto"/>
                <w:szCs w:val="24"/>
              </w:rPr>
              <w:tab/>
            </w:r>
            <w:r w:rsidRPr="00D23A89">
              <w:rPr>
                <w:rFonts w:ascii="Arial" w:hAnsi="Arial" w:cs="Arial"/>
                <w:noProof/>
                <w:webHidden/>
                <w:color w:val="auto"/>
                <w:szCs w:val="24"/>
              </w:rPr>
              <w:fldChar w:fldCharType="begin"/>
            </w:r>
            <w:r w:rsidRPr="00D23A89">
              <w:rPr>
                <w:rFonts w:ascii="Arial" w:hAnsi="Arial" w:cs="Arial"/>
                <w:noProof/>
                <w:webHidden/>
                <w:color w:val="auto"/>
                <w:szCs w:val="24"/>
              </w:rPr>
              <w:instrText xml:space="preserve"> PAGEREF _Toc29981008 \h </w:instrText>
            </w:r>
            <w:r w:rsidRPr="00D23A89">
              <w:rPr>
                <w:rFonts w:ascii="Arial" w:hAnsi="Arial" w:cs="Arial"/>
                <w:noProof/>
                <w:webHidden/>
                <w:color w:val="auto"/>
                <w:szCs w:val="24"/>
              </w:rPr>
            </w:r>
            <w:r w:rsidRPr="00D23A89">
              <w:rPr>
                <w:rFonts w:ascii="Arial" w:hAnsi="Arial" w:cs="Arial"/>
                <w:noProof/>
                <w:webHidden/>
                <w:color w:val="auto"/>
                <w:szCs w:val="24"/>
              </w:rPr>
              <w:fldChar w:fldCharType="separate"/>
            </w:r>
            <w:r w:rsidRPr="00D23A89">
              <w:rPr>
                <w:rFonts w:ascii="Arial" w:hAnsi="Arial" w:cs="Arial"/>
                <w:noProof/>
                <w:webHidden/>
                <w:color w:val="auto"/>
                <w:szCs w:val="24"/>
              </w:rPr>
              <w:t>4</w:t>
            </w:r>
            <w:r w:rsidRPr="00D23A89">
              <w:rPr>
                <w:rFonts w:ascii="Arial" w:hAnsi="Arial" w:cs="Arial"/>
                <w:noProof/>
                <w:webHidden/>
                <w:color w:val="auto"/>
                <w:szCs w:val="24"/>
              </w:rPr>
              <w:fldChar w:fldCharType="end"/>
            </w:r>
          </w:hyperlink>
        </w:p>
        <w:p w:rsidR="00D23A89" w:rsidRPr="00D23A89" w:rsidRDefault="00D23A89" w:rsidP="00D23A89">
          <w:pPr>
            <w:pStyle w:val="TDC2"/>
            <w:tabs>
              <w:tab w:val="left" w:pos="880"/>
              <w:tab w:val="right" w:leader="dot" w:pos="8830"/>
            </w:tabs>
            <w:jc w:val="both"/>
            <w:rPr>
              <w:rFonts w:ascii="Arial" w:eastAsiaTheme="minorEastAsia" w:hAnsi="Arial" w:cs="Arial"/>
              <w:noProof/>
              <w:sz w:val="24"/>
              <w:szCs w:val="24"/>
              <w:lang w:eastAsia="es-MX"/>
            </w:rPr>
          </w:pPr>
          <w:hyperlink w:anchor="_Toc29981009" w:history="1">
            <w:r w:rsidRPr="00D23A89">
              <w:rPr>
                <w:rStyle w:val="Hipervnculo"/>
                <w:rFonts w:ascii="Arial" w:hAnsi="Arial" w:cs="Arial"/>
                <w:noProof/>
                <w:color w:val="auto"/>
                <w:sz w:val="24"/>
                <w:szCs w:val="24"/>
              </w:rPr>
              <w:t>2.1</w:t>
            </w:r>
            <w:r w:rsidRPr="00D23A89">
              <w:rPr>
                <w:rFonts w:ascii="Arial" w:eastAsiaTheme="minorEastAsia" w:hAnsi="Arial" w:cs="Arial"/>
                <w:noProof/>
                <w:sz w:val="24"/>
                <w:szCs w:val="24"/>
                <w:lang w:eastAsia="es-MX"/>
              </w:rPr>
              <w:tab/>
            </w:r>
            <w:r w:rsidRPr="00D23A89">
              <w:rPr>
                <w:rStyle w:val="Hipervnculo"/>
                <w:rFonts w:ascii="Arial" w:hAnsi="Arial" w:cs="Arial"/>
                <w:noProof/>
                <w:color w:val="auto"/>
                <w:sz w:val="24"/>
                <w:szCs w:val="24"/>
              </w:rPr>
              <w:t>CIBEROGRÁFICA:</w:t>
            </w:r>
            <w:r w:rsidRPr="00D23A89">
              <w:rPr>
                <w:rFonts w:ascii="Arial" w:hAnsi="Arial" w:cs="Arial"/>
                <w:noProof/>
                <w:webHidden/>
                <w:sz w:val="24"/>
                <w:szCs w:val="24"/>
              </w:rPr>
              <w:tab/>
            </w:r>
            <w:r w:rsidRPr="00D23A89">
              <w:rPr>
                <w:rFonts w:ascii="Arial" w:hAnsi="Arial" w:cs="Arial"/>
                <w:noProof/>
                <w:webHidden/>
                <w:sz w:val="24"/>
                <w:szCs w:val="24"/>
              </w:rPr>
              <w:fldChar w:fldCharType="begin"/>
            </w:r>
            <w:r w:rsidRPr="00D23A89">
              <w:rPr>
                <w:rFonts w:ascii="Arial" w:hAnsi="Arial" w:cs="Arial"/>
                <w:noProof/>
                <w:webHidden/>
                <w:sz w:val="24"/>
                <w:szCs w:val="24"/>
              </w:rPr>
              <w:instrText xml:space="preserve"> PAGEREF _Toc29981009 \h </w:instrText>
            </w:r>
            <w:r w:rsidRPr="00D23A89">
              <w:rPr>
                <w:rFonts w:ascii="Arial" w:hAnsi="Arial" w:cs="Arial"/>
                <w:noProof/>
                <w:webHidden/>
                <w:sz w:val="24"/>
                <w:szCs w:val="24"/>
              </w:rPr>
            </w:r>
            <w:r w:rsidRPr="00D23A89">
              <w:rPr>
                <w:rFonts w:ascii="Arial" w:hAnsi="Arial" w:cs="Arial"/>
                <w:noProof/>
                <w:webHidden/>
                <w:sz w:val="24"/>
                <w:szCs w:val="24"/>
              </w:rPr>
              <w:fldChar w:fldCharType="separate"/>
            </w:r>
            <w:r w:rsidRPr="00D23A89">
              <w:rPr>
                <w:rFonts w:ascii="Arial" w:hAnsi="Arial" w:cs="Arial"/>
                <w:noProof/>
                <w:webHidden/>
                <w:sz w:val="24"/>
                <w:szCs w:val="24"/>
              </w:rPr>
              <w:t>4</w:t>
            </w:r>
            <w:r w:rsidRPr="00D23A89">
              <w:rPr>
                <w:rFonts w:ascii="Arial" w:hAnsi="Arial" w:cs="Arial"/>
                <w:noProof/>
                <w:webHidden/>
                <w:sz w:val="24"/>
                <w:szCs w:val="24"/>
              </w:rPr>
              <w:fldChar w:fldCharType="end"/>
            </w:r>
          </w:hyperlink>
        </w:p>
        <w:p w:rsidR="00D23A89" w:rsidRPr="00D23A89" w:rsidRDefault="00D23A89" w:rsidP="00D23A89">
          <w:pPr>
            <w:pStyle w:val="TDC3"/>
            <w:tabs>
              <w:tab w:val="left" w:pos="1320"/>
              <w:tab w:val="right" w:leader="dot" w:pos="8830"/>
            </w:tabs>
            <w:jc w:val="both"/>
            <w:rPr>
              <w:rFonts w:ascii="Arial" w:eastAsiaTheme="minorEastAsia" w:hAnsi="Arial" w:cs="Arial"/>
              <w:noProof/>
              <w:sz w:val="24"/>
              <w:szCs w:val="24"/>
              <w:lang w:eastAsia="es-MX"/>
            </w:rPr>
          </w:pPr>
          <w:hyperlink w:anchor="_Toc29981010" w:history="1">
            <w:r w:rsidRPr="00D23A89">
              <w:rPr>
                <w:rStyle w:val="Hipervnculo"/>
                <w:rFonts w:ascii="Arial" w:hAnsi="Arial" w:cs="Arial"/>
                <w:noProof/>
                <w:color w:val="auto"/>
                <w:sz w:val="24"/>
                <w:szCs w:val="24"/>
              </w:rPr>
              <w:t>2.1.1</w:t>
            </w:r>
            <w:r w:rsidRPr="00D23A89">
              <w:rPr>
                <w:rFonts w:ascii="Arial" w:eastAsiaTheme="minorEastAsia" w:hAnsi="Arial" w:cs="Arial"/>
                <w:noProof/>
                <w:sz w:val="24"/>
                <w:szCs w:val="24"/>
                <w:lang w:eastAsia="es-MX"/>
              </w:rPr>
              <w:tab/>
            </w:r>
            <w:r w:rsidRPr="00D23A89">
              <w:rPr>
                <w:rStyle w:val="Hipervnculo"/>
                <w:rFonts w:ascii="Arial" w:hAnsi="Arial" w:cs="Arial"/>
                <w:noProof/>
                <w:color w:val="auto"/>
                <w:sz w:val="24"/>
                <w:szCs w:val="24"/>
              </w:rPr>
              <w:t>SEMANARIO JUDICIAL DE LA FEDERACIÓN</w:t>
            </w:r>
            <w:r w:rsidRPr="00D23A89">
              <w:rPr>
                <w:rFonts w:ascii="Arial" w:hAnsi="Arial" w:cs="Arial"/>
                <w:noProof/>
                <w:webHidden/>
                <w:sz w:val="24"/>
                <w:szCs w:val="24"/>
              </w:rPr>
              <w:tab/>
            </w:r>
            <w:r w:rsidRPr="00D23A89">
              <w:rPr>
                <w:rFonts w:ascii="Arial" w:hAnsi="Arial" w:cs="Arial"/>
                <w:noProof/>
                <w:webHidden/>
                <w:sz w:val="24"/>
                <w:szCs w:val="24"/>
              </w:rPr>
              <w:fldChar w:fldCharType="begin"/>
            </w:r>
            <w:r w:rsidRPr="00D23A89">
              <w:rPr>
                <w:rFonts w:ascii="Arial" w:hAnsi="Arial" w:cs="Arial"/>
                <w:noProof/>
                <w:webHidden/>
                <w:sz w:val="24"/>
                <w:szCs w:val="24"/>
              </w:rPr>
              <w:instrText xml:space="preserve"> PAGEREF _Toc29981010 \h </w:instrText>
            </w:r>
            <w:r w:rsidRPr="00D23A89">
              <w:rPr>
                <w:rFonts w:ascii="Arial" w:hAnsi="Arial" w:cs="Arial"/>
                <w:noProof/>
                <w:webHidden/>
                <w:sz w:val="24"/>
                <w:szCs w:val="24"/>
              </w:rPr>
            </w:r>
            <w:r w:rsidRPr="00D23A89">
              <w:rPr>
                <w:rFonts w:ascii="Arial" w:hAnsi="Arial" w:cs="Arial"/>
                <w:noProof/>
                <w:webHidden/>
                <w:sz w:val="24"/>
                <w:szCs w:val="24"/>
              </w:rPr>
              <w:fldChar w:fldCharType="separate"/>
            </w:r>
            <w:r w:rsidRPr="00D23A89">
              <w:rPr>
                <w:rFonts w:ascii="Arial" w:hAnsi="Arial" w:cs="Arial"/>
                <w:noProof/>
                <w:webHidden/>
                <w:sz w:val="24"/>
                <w:szCs w:val="24"/>
              </w:rPr>
              <w:t>4</w:t>
            </w:r>
            <w:r w:rsidRPr="00D23A89">
              <w:rPr>
                <w:rFonts w:ascii="Arial" w:hAnsi="Arial" w:cs="Arial"/>
                <w:noProof/>
                <w:webHidden/>
                <w:sz w:val="24"/>
                <w:szCs w:val="24"/>
              </w:rPr>
              <w:fldChar w:fldCharType="end"/>
            </w:r>
          </w:hyperlink>
        </w:p>
        <w:p w:rsidR="00D23A89" w:rsidRPr="00D23A89" w:rsidRDefault="00D23A89" w:rsidP="00D23A89">
          <w:pPr>
            <w:jc w:val="both"/>
            <w:rPr>
              <w:rFonts w:ascii="Arial" w:hAnsi="Arial" w:cs="Arial"/>
              <w:color w:val="auto"/>
              <w:szCs w:val="24"/>
            </w:rPr>
          </w:pPr>
          <w:r w:rsidRPr="00D23A89">
            <w:rPr>
              <w:rFonts w:ascii="Arial" w:hAnsi="Arial" w:cs="Arial"/>
              <w:b/>
              <w:bCs/>
              <w:color w:val="auto"/>
              <w:szCs w:val="24"/>
            </w:rPr>
            <w:fldChar w:fldCharType="end"/>
          </w:r>
        </w:p>
      </w:sdtContent>
    </w:sdt>
    <w:p w:rsidR="00D23A89" w:rsidRDefault="00D23A89">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771F92" w:rsidRPr="00D23A89" w:rsidRDefault="00771F92" w:rsidP="00D23A89">
      <w:pPr>
        <w:pStyle w:val="Ttulo1"/>
        <w:numPr>
          <w:ilvl w:val="0"/>
          <w:numId w:val="7"/>
        </w:numPr>
        <w:jc w:val="center"/>
        <w:rPr>
          <w:rFonts w:ascii="Arial" w:hAnsi="Arial" w:cs="Arial"/>
          <w:color w:val="B35E06" w:themeColor="accent1" w:themeShade="BF"/>
          <w:sz w:val="36"/>
          <w:szCs w:val="36"/>
        </w:rPr>
      </w:pPr>
      <w:bookmarkStart w:id="1" w:name="_Toc29981005"/>
      <w:r w:rsidRPr="00D23A89">
        <w:rPr>
          <w:rFonts w:ascii="Arial" w:hAnsi="Arial" w:cs="Arial"/>
          <w:color w:val="B35E06" w:themeColor="accent1" w:themeShade="BF"/>
          <w:sz w:val="36"/>
          <w:szCs w:val="36"/>
        </w:rPr>
        <w:lastRenderedPageBreak/>
        <w:t>TESIS AISLADAS EN MATERIA FAMILIAR</w:t>
      </w:r>
      <w:bookmarkEnd w:id="1"/>
    </w:p>
    <w:p w:rsidR="00771F92" w:rsidRDefault="00771F92" w:rsidP="00771F92">
      <w:pPr>
        <w:spacing w:after="0" w:line="240" w:lineRule="auto"/>
        <w:jc w:val="both"/>
        <w:rPr>
          <w:rFonts w:ascii="Arial" w:hAnsi="Arial" w:cs="Arial"/>
        </w:rPr>
      </w:pPr>
    </w:p>
    <w:p w:rsidR="0069513C" w:rsidRPr="00771F92" w:rsidRDefault="00D23A89" w:rsidP="00771F92">
      <w:pPr>
        <w:spacing w:after="0" w:line="240" w:lineRule="auto"/>
        <w:jc w:val="both"/>
        <w:rPr>
          <w:rFonts w:ascii="Arial" w:hAnsi="Arial" w:cs="Arial"/>
        </w:rPr>
      </w:pPr>
      <w:r>
        <w:rPr>
          <w:rFonts w:ascii="Arial" w:hAnsi="Arial" w:cs="Arial"/>
        </w:rPr>
        <w:t xml:space="preserve">1. </w:t>
      </w:r>
      <w:r w:rsidR="0069513C" w:rsidRPr="00771F92">
        <w:rPr>
          <w:rFonts w:ascii="Arial" w:hAnsi="Arial" w:cs="Arial"/>
        </w:rPr>
        <w:t xml:space="preserve">Época: Décima Época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Registro: 2021392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Instancia: Tribunales Colegiados de Circuito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Tipo de Tesis: Aislada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Fuente: Semanario Judicial de la Federación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Publicación: viernes 10 de enero de 2020 10:11 h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Materia(s): (Civil) </w:t>
      </w: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Tesis: I.3o.C.412 C (10a.) </w:t>
      </w:r>
    </w:p>
    <w:p w:rsidR="0069513C" w:rsidRPr="00771F92" w:rsidRDefault="0069513C" w:rsidP="00771F92">
      <w:pPr>
        <w:spacing w:after="0" w:line="240" w:lineRule="auto"/>
        <w:jc w:val="both"/>
        <w:rPr>
          <w:rFonts w:ascii="Arial" w:hAnsi="Arial" w:cs="Arial"/>
        </w:rPr>
      </w:pPr>
    </w:p>
    <w:p w:rsidR="0069513C" w:rsidRPr="00D23A89" w:rsidRDefault="0069513C" w:rsidP="00D23A89">
      <w:pPr>
        <w:pStyle w:val="Ttulo2"/>
        <w:jc w:val="both"/>
        <w:rPr>
          <w:rFonts w:ascii="Arial" w:hAnsi="Arial" w:cs="Arial"/>
          <w:color w:val="B35E06" w:themeColor="accent1" w:themeShade="BF"/>
          <w:sz w:val="26"/>
          <w:szCs w:val="26"/>
        </w:rPr>
      </w:pPr>
      <w:bookmarkStart w:id="2" w:name="_Toc29981006"/>
      <w:r w:rsidRPr="00D23A89">
        <w:rPr>
          <w:rFonts w:ascii="Arial" w:hAnsi="Arial" w:cs="Arial"/>
          <w:color w:val="B35E06" w:themeColor="accent1" w:themeShade="BF"/>
          <w:sz w:val="26"/>
          <w:szCs w:val="26"/>
        </w:rPr>
        <w:t>PRUEBA PERICIAL EN GENÉTICA MOLECULAR. SI EN SU DESAHOGO EL DEMANDADO OBSTACULIZA QUE SE RINDA EL PERITAJE DE RECONOCIMIENTO DE PATERNIDAD, NO OBSTANTE EL EMPLEO DE MEDIDAS DE APREMIO, EL JUZGADOR DEBE ANALIZAR LAS CONSTANCIAS DEL LITIGIO Y DETERMINAR SI SE JUSTIFICA ESA CONDUCTA (LEGISLACIÓN APLICABLE PARA LA CIUDAD DE MÉXICO).</w:t>
      </w:r>
      <w:bookmarkEnd w:id="2"/>
    </w:p>
    <w:p w:rsidR="0069513C" w:rsidRPr="00771F92" w:rsidRDefault="0069513C" w:rsidP="00771F92">
      <w:pPr>
        <w:spacing w:after="0" w:line="240" w:lineRule="auto"/>
        <w:jc w:val="both"/>
        <w:rPr>
          <w:rFonts w:ascii="Arial" w:hAnsi="Arial" w:cs="Arial"/>
        </w:rPr>
      </w:pPr>
    </w:p>
    <w:p w:rsidR="0069513C" w:rsidRPr="00771F92" w:rsidRDefault="0069513C" w:rsidP="00771F92">
      <w:pPr>
        <w:spacing w:after="0" w:line="240" w:lineRule="auto"/>
        <w:jc w:val="both"/>
        <w:rPr>
          <w:rFonts w:ascii="Arial" w:hAnsi="Arial" w:cs="Arial"/>
        </w:rPr>
      </w:pPr>
      <w:r w:rsidRPr="00771F92">
        <w:rPr>
          <w:rFonts w:ascii="Arial" w:hAnsi="Arial" w:cs="Arial"/>
        </w:rPr>
        <w:t xml:space="preserve">En los juicios de reconocimiento de paternidad, la prueba pericial en genética molecular es la idónea y el demandado puede asumir dos conductas procesales: I. Una es que proporcione sus muestras orgánicas para que el genetista verifique si los marcadores del presunto padre son coincidentes con los del presunto hijo; y, II. La otra es negarse a proporcionarlas, pues el pretenso progenitor queda en libertad de someterse a la práctica de la pericial, en este caso, debe asumir las consecuencias jurídicas que produce su negativa. Ahora bien, con esta conducta el demandado obstaculiza que se rinda el peritaje, por lo que para vencer esa contumacia, es adecuado que la autoridad judicial aplique las medidas de apremio conducentes y si a pesar de ello no logra vencer su negativa, operará la presunción legal de la filiación, prevista en el artículo 382 del Código Civil para el Distrito Federal, aplicable para la Ciudad de México. Por otra parte, también puede ser que el demandado no acuda a dar sus muestras, pero justifique sus inasistencias, ya sea porque se enferme o se le presente algún evento extraordinario que le imposibilite cumplir con el requerimiento. Sin embargo, el órgano jurisdiccional debe analizar con sumo detenimiento las constancias del litigio para discernir si esa justificación formal envuelve un desacato material, en </w:t>
      </w:r>
      <w:r w:rsidRPr="00771F92">
        <w:rPr>
          <w:rFonts w:ascii="Arial" w:hAnsi="Arial" w:cs="Arial"/>
        </w:rPr>
        <w:lastRenderedPageBreak/>
        <w:t>razón de que su conducta tienda a obstaculizar de forma ostensible y reiterada el desarrollo normal de la prueba, porque en los juicios de investigación de la paternidad, como en todo proceso judicial, las partes deben conducirse con lealtad procesal, para hacer posible el descubrimiento de la verdad.</w:t>
      </w:r>
    </w:p>
    <w:p w:rsidR="0069513C" w:rsidRPr="00771F92" w:rsidRDefault="0069513C" w:rsidP="00771F92">
      <w:pPr>
        <w:spacing w:after="0" w:line="240" w:lineRule="auto"/>
        <w:jc w:val="both"/>
        <w:rPr>
          <w:rFonts w:ascii="Arial" w:hAnsi="Arial" w:cs="Arial"/>
        </w:rPr>
      </w:pPr>
    </w:p>
    <w:p w:rsidR="0069513C" w:rsidRPr="00771F92" w:rsidRDefault="0069513C" w:rsidP="00771F92">
      <w:pPr>
        <w:spacing w:after="0" w:line="240" w:lineRule="auto"/>
        <w:jc w:val="both"/>
        <w:rPr>
          <w:rFonts w:ascii="Arial" w:hAnsi="Arial" w:cs="Arial"/>
        </w:rPr>
      </w:pPr>
      <w:r w:rsidRPr="00771F92">
        <w:rPr>
          <w:rFonts w:ascii="Arial" w:hAnsi="Arial" w:cs="Arial"/>
        </w:rPr>
        <w:t>TERCER TRIBUNAL COLEGIADO EN MATERIA CIVIL DEL PRIMER CIRCUITO.</w:t>
      </w:r>
    </w:p>
    <w:p w:rsidR="0069513C" w:rsidRPr="00771F92" w:rsidRDefault="0069513C" w:rsidP="00771F92">
      <w:pPr>
        <w:spacing w:after="0" w:line="240" w:lineRule="auto"/>
        <w:jc w:val="both"/>
        <w:rPr>
          <w:rFonts w:ascii="Arial" w:hAnsi="Arial" w:cs="Arial"/>
        </w:rPr>
      </w:pPr>
    </w:p>
    <w:p w:rsidR="0069513C" w:rsidRPr="00771F92" w:rsidRDefault="0069513C" w:rsidP="00771F92">
      <w:pPr>
        <w:spacing w:after="0" w:line="240" w:lineRule="auto"/>
        <w:jc w:val="both"/>
        <w:rPr>
          <w:rFonts w:ascii="Arial" w:hAnsi="Arial" w:cs="Arial"/>
        </w:rPr>
      </w:pPr>
      <w:r w:rsidRPr="00771F92">
        <w:rPr>
          <w:rFonts w:ascii="Arial" w:hAnsi="Arial" w:cs="Arial"/>
        </w:rPr>
        <w:t>Amparo directo 492/2019. 4 de septiembre de 2019. Unanimidad de votos. Ponente: Sofía Verónica Ávalos Díaz. Secretario: Víctor Hugo Solano Vera.</w:t>
      </w:r>
    </w:p>
    <w:p w:rsidR="0069513C" w:rsidRPr="00771F92" w:rsidRDefault="0069513C" w:rsidP="00771F92">
      <w:pPr>
        <w:spacing w:after="0" w:line="240" w:lineRule="auto"/>
        <w:jc w:val="both"/>
        <w:rPr>
          <w:rFonts w:ascii="Arial" w:hAnsi="Arial" w:cs="Arial"/>
        </w:rPr>
      </w:pPr>
    </w:p>
    <w:p w:rsidR="00087300" w:rsidRPr="00771F92" w:rsidRDefault="00087300" w:rsidP="00771F92">
      <w:pPr>
        <w:spacing w:after="0" w:line="240" w:lineRule="auto"/>
        <w:jc w:val="both"/>
        <w:rPr>
          <w:rFonts w:ascii="Arial" w:hAnsi="Arial" w:cs="Arial"/>
        </w:rPr>
      </w:pPr>
    </w:p>
    <w:p w:rsidR="00CB1079" w:rsidRPr="00CB1079" w:rsidRDefault="00D23A89" w:rsidP="00CB1079">
      <w:pPr>
        <w:spacing w:after="0" w:line="240" w:lineRule="auto"/>
        <w:jc w:val="both"/>
        <w:rPr>
          <w:rFonts w:ascii="Arial" w:hAnsi="Arial" w:cs="Arial"/>
        </w:rPr>
      </w:pPr>
      <w:r>
        <w:rPr>
          <w:rFonts w:ascii="Arial" w:hAnsi="Arial" w:cs="Arial"/>
        </w:rPr>
        <w:t xml:space="preserve">2. </w:t>
      </w:r>
      <w:r w:rsidR="00CB1079" w:rsidRPr="00CB1079">
        <w:rPr>
          <w:rFonts w:ascii="Arial" w:hAnsi="Arial" w:cs="Arial"/>
        </w:rPr>
        <w:t xml:space="preserve">Época: Décima Época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Registro: 2021391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Instancia: Tribunales Colegiados de Circuito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Tipo de Tesis: Aislada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Fuente: Semanario Judicial de la Federación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Publicación: viernes 10 de enero de 2020 10:11 h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Materia(s): (Constitucional, Civil) </w:t>
      </w: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Tesis: I.3o.C.413 C (10a.) </w:t>
      </w:r>
    </w:p>
    <w:p w:rsidR="00CB1079" w:rsidRPr="00CB1079" w:rsidRDefault="00CB1079" w:rsidP="00CB1079">
      <w:pPr>
        <w:spacing w:after="0" w:line="240" w:lineRule="auto"/>
        <w:jc w:val="both"/>
        <w:rPr>
          <w:rFonts w:ascii="Arial" w:hAnsi="Arial" w:cs="Arial"/>
        </w:rPr>
      </w:pPr>
    </w:p>
    <w:p w:rsidR="00CB1079" w:rsidRPr="00D23A89" w:rsidRDefault="00CB1079" w:rsidP="00D23A89">
      <w:pPr>
        <w:pStyle w:val="Ttulo2"/>
        <w:jc w:val="both"/>
        <w:rPr>
          <w:rFonts w:ascii="Arial" w:hAnsi="Arial" w:cs="Arial"/>
          <w:sz w:val="26"/>
          <w:szCs w:val="26"/>
        </w:rPr>
      </w:pPr>
      <w:bookmarkStart w:id="3" w:name="_Toc29981007"/>
      <w:r w:rsidRPr="00D23A89">
        <w:rPr>
          <w:rFonts w:ascii="Arial" w:hAnsi="Arial" w:cs="Arial"/>
          <w:color w:val="B35E06" w:themeColor="accent1" w:themeShade="BF"/>
          <w:sz w:val="26"/>
          <w:szCs w:val="26"/>
        </w:rPr>
        <w:t>PRUEBA PERICIAL EN GENÉTICA MOLECULAR. LA CONDUCTA EVASIVA DEL DEMANDADO PARA SU DESAHOGO, CONTRARÍA EL PRINCIPIO DE LEALTAD PROCESAL Y VULNERA EL DERECHO DEL MENOR DE EDAD PARA CONOCER SU IDENTIDAD PARENTAL.</w:t>
      </w:r>
      <w:bookmarkEnd w:id="3"/>
    </w:p>
    <w:p w:rsidR="00CB1079" w:rsidRPr="00CB1079" w:rsidRDefault="00CB1079" w:rsidP="00CB1079">
      <w:pPr>
        <w:spacing w:after="0" w:line="240" w:lineRule="auto"/>
        <w:jc w:val="both"/>
        <w:rPr>
          <w:rFonts w:ascii="Arial" w:hAnsi="Arial" w:cs="Arial"/>
        </w:rPr>
      </w:pPr>
    </w:p>
    <w:p w:rsidR="00CB1079" w:rsidRPr="00CB1079" w:rsidRDefault="00CB1079" w:rsidP="00CB1079">
      <w:pPr>
        <w:spacing w:after="0" w:line="240" w:lineRule="auto"/>
        <w:jc w:val="both"/>
        <w:rPr>
          <w:rFonts w:ascii="Arial" w:hAnsi="Arial" w:cs="Arial"/>
        </w:rPr>
      </w:pPr>
      <w:r w:rsidRPr="00CB1079">
        <w:rPr>
          <w:rFonts w:ascii="Arial" w:hAnsi="Arial" w:cs="Arial"/>
        </w:rPr>
        <w:t xml:space="preserve">La acción de reconocimiento de paternidad constituye una garantía para proteger y respetar el derecho humano que tienen los hijos para que en sede judicial se declare quién es su progenitor biológico. Los motivos de índole laboral que esgrima el demandado para justificar su inasistencia a proporcionar sus muestras para llevar a cabo los análisis genéticos pertinentes, configuran una conducta de deslealtad procesal, si a través de eventos académicos o laborales, el sujeto de la prueba imposibilita que se rinda el peritaje correspondiente, haciendo nugatorio el derecho del infante a conocer su filiación paterna, pues estuvo en aptitud de ejercer frente a su fuente de empleo el derecho previsto en el artículo 47, fracción X, de la Ley Federal del Trabajo, que da a los trabajadores la posibilidad de registrar hasta tres faltas de asistencia a sus labores en un periodo de treinta días, aunque no cuente con permiso del patrón o se presente alguna causa justificada, </w:t>
      </w:r>
      <w:r w:rsidRPr="00CB1079">
        <w:rPr>
          <w:rFonts w:ascii="Arial" w:hAnsi="Arial" w:cs="Arial"/>
        </w:rPr>
        <w:lastRenderedPageBreak/>
        <w:t xml:space="preserve">lo cual no pone en riesgo su relación subordinada. Máxime que para entregar las muestras de material genético, al enjuiciado se le impuso la carga de acudir un solo día, el cual fue </w:t>
      </w:r>
      <w:proofErr w:type="spellStart"/>
      <w:r w:rsidRPr="00CB1079">
        <w:rPr>
          <w:rFonts w:ascii="Arial" w:hAnsi="Arial" w:cs="Arial"/>
        </w:rPr>
        <w:t>agendado</w:t>
      </w:r>
      <w:proofErr w:type="spellEnd"/>
      <w:r w:rsidRPr="00CB1079">
        <w:rPr>
          <w:rFonts w:ascii="Arial" w:hAnsi="Arial" w:cs="Arial"/>
        </w:rPr>
        <w:t xml:space="preserve"> y reprogramado en varias ocasiones sin que se lograra que cumpliera con los requerimientos que se le hicieron, de modo que la conducta evasiva del demandado para el desahogo de la prueba pericial en genética molecular contraría el principio de lealtad procesal y vulnera el derecho del entonces menor de edad a conocer su identidad parental, cuya atención debe ser prioritaria frente a los derechos fundamentales de los adultos.</w:t>
      </w:r>
    </w:p>
    <w:p w:rsidR="00CB1079" w:rsidRPr="00CB1079" w:rsidRDefault="00CB1079" w:rsidP="00CB1079">
      <w:pPr>
        <w:spacing w:after="0" w:line="240" w:lineRule="auto"/>
        <w:jc w:val="both"/>
        <w:rPr>
          <w:rFonts w:ascii="Arial" w:hAnsi="Arial" w:cs="Arial"/>
        </w:rPr>
      </w:pPr>
    </w:p>
    <w:p w:rsidR="00CB1079" w:rsidRPr="00CB1079" w:rsidRDefault="00CB1079" w:rsidP="00CB1079">
      <w:pPr>
        <w:spacing w:after="0" w:line="240" w:lineRule="auto"/>
        <w:jc w:val="both"/>
        <w:rPr>
          <w:rFonts w:ascii="Arial" w:hAnsi="Arial" w:cs="Arial"/>
        </w:rPr>
      </w:pPr>
      <w:r w:rsidRPr="00CB1079">
        <w:rPr>
          <w:rFonts w:ascii="Arial" w:hAnsi="Arial" w:cs="Arial"/>
        </w:rPr>
        <w:t>TERCER TRIBUNAL COLEGIADO EN MATERIA CIVIL DEL PRIMER CIRCUITO.</w:t>
      </w:r>
    </w:p>
    <w:p w:rsidR="00CB1079" w:rsidRPr="00CB1079" w:rsidRDefault="00CB1079" w:rsidP="00CB1079">
      <w:pPr>
        <w:spacing w:after="0" w:line="240" w:lineRule="auto"/>
        <w:jc w:val="both"/>
        <w:rPr>
          <w:rFonts w:ascii="Arial" w:hAnsi="Arial" w:cs="Arial"/>
        </w:rPr>
      </w:pPr>
    </w:p>
    <w:p w:rsidR="00CB1079" w:rsidRPr="00CB1079" w:rsidRDefault="00CB1079" w:rsidP="00CB1079">
      <w:pPr>
        <w:spacing w:after="0" w:line="240" w:lineRule="auto"/>
        <w:jc w:val="both"/>
        <w:rPr>
          <w:rFonts w:ascii="Arial" w:hAnsi="Arial" w:cs="Arial"/>
        </w:rPr>
      </w:pPr>
      <w:r w:rsidRPr="00CB1079">
        <w:rPr>
          <w:rFonts w:ascii="Arial" w:hAnsi="Arial" w:cs="Arial"/>
        </w:rPr>
        <w:t>Amparo directo 492/2019. 4 de septiembre de 2019. Unanimidad de votos. Ponente: Sofía Verónica Ávalos Díaz. Secretario: Víctor Hugo Solano Vera.</w:t>
      </w:r>
    </w:p>
    <w:p w:rsidR="00E97434" w:rsidRPr="00D23A89" w:rsidRDefault="00E97434" w:rsidP="00D23A89">
      <w:pPr>
        <w:pStyle w:val="Ttulo1"/>
        <w:numPr>
          <w:ilvl w:val="0"/>
          <w:numId w:val="11"/>
        </w:numPr>
        <w:spacing w:line="360" w:lineRule="auto"/>
        <w:jc w:val="center"/>
        <w:rPr>
          <w:rFonts w:ascii="Arial" w:hAnsi="Arial" w:cs="Arial"/>
          <w:color w:val="B35E06" w:themeColor="accent1" w:themeShade="BF"/>
          <w:sz w:val="36"/>
          <w:szCs w:val="36"/>
        </w:rPr>
      </w:pPr>
      <w:bookmarkStart w:id="4" w:name="_Toc5371743"/>
      <w:bookmarkStart w:id="5" w:name="_Toc5263202"/>
      <w:bookmarkStart w:id="6" w:name="_Toc5180179"/>
      <w:bookmarkStart w:id="7" w:name="_Toc1380861"/>
      <w:bookmarkStart w:id="8" w:name="_Toc779016"/>
      <w:bookmarkStart w:id="9" w:name="_Toc536439466"/>
      <w:bookmarkStart w:id="10" w:name="_Toc535924787"/>
      <w:bookmarkStart w:id="11" w:name="_Toc338652"/>
      <w:bookmarkStart w:id="12" w:name="_Toc1379638"/>
      <w:bookmarkStart w:id="13" w:name="_Toc2071030"/>
      <w:bookmarkStart w:id="14" w:name="_Toc11316582"/>
      <w:bookmarkStart w:id="15" w:name="_Toc13479248"/>
      <w:bookmarkStart w:id="16" w:name="_Toc13479882"/>
      <w:bookmarkStart w:id="17" w:name="_Toc13480931"/>
      <w:bookmarkStart w:id="18" w:name="_Toc15894289"/>
      <w:bookmarkStart w:id="19" w:name="_Toc15988536"/>
      <w:bookmarkStart w:id="20" w:name="_Toc16504411"/>
      <w:bookmarkStart w:id="21" w:name="_Toc29981008"/>
      <w:r w:rsidRPr="00D23A89">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97434" w:rsidRPr="00591067" w:rsidRDefault="00E97434" w:rsidP="00E97434">
      <w:pPr>
        <w:numPr>
          <w:ilvl w:val="0"/>
          <w:numId w:val="6"/>
        </w:numPr>
        <w:spacing w:after="0" w:line="360" w:lineRule="auto"/>
        <w:jc w:val="center"/>
        <w:rPr>
          <w:rFonts w:ascii="Arial" w:hAnsi="Arial" w:cs="Arial"/>
          <w:b/>
          <w:bCs/>
          <w:vanish/>
          <w:color w:val="B35E06" w:themeColor="accent1" w:themeShade="BF"/>
          <w:szCs w:val="24"/>
          <w:lang w:val="es-MX"/>
        </w:rPr>
      </w:pPr>
      <w:bookmarkStart w:id="22" w:name="_Toc536437384"/>
      <w:bookmarkStart w:id="23" w:name="_Toc536437577"/>
      <w:bookmarkStart w:id="24" w:name="_Toc536439344"/>
      <w:bookmarkStart w:id="25" w:name="_Toc536439427"/>
      <w:bookmarkStart w:id="26" w:name="_Toc536439467"/>
      <w:bookmarkStart w:id="27" w:name="_Toc338653"/>
      <w:bookmarkStart w:id="28" w:name="_Toc778876"/>
      <w:bookmarkStart w:id="29" w:name="_Toc779017"/>
      <w:bookmarkStart w:id="30" w:name="_Toc1379639"/>
      <w:bookmarkStart w:id="31" w:name="_Toc1380862"/>
      <w:bookmarkStart w:id="32" w:name="_Toc2071031"/>
      <w:bookmarkStart w:id="33" w:name="_Toc5180102"/>
      <w:bookmarkStart w:id="34" w:name="_Toc5180180"/>
      <w:bookmarkStart w:id="35" w:name="_Toc5262815"/>
      <w:bookmarkStart w:id="36" w:name="_Toc5263076"/>
      <w:bookmarkStart w:id="37" w:name="_Toc5263203"/>
      <w:bookmarkStart w:id="38" w:name="_Toc5263841"/>
      <w:bookmarkStart w:id="39" w:name="_Toc5263889"/>
      <w:bookmarkStart w:id="40" w:name="_Toc5263941"/>
      <w:bookmarkStart w:id="41" w:name="_Toc5273346"/>
      <w:bookmarkStart w:id="42" w:name="_Toc5277921"/>
      <w:bookmarkStart w:id="43" w:name="_Toc5371729"/>
      <w:bookmarkStart w:id="44" w:name="_Toc5371744"/>
      <w:bookmarkStart w:id="45" w:name="_Toc53643946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97434" w:rsidRPr="00591067" w:rsidRDefault="00E97434" w:rsidP="00E97434">
      <w:pPr>
        <w:numPr>
          <w:ilvl w:val="0"/>
          <w:numId w:val="6"/>
        </w:numPr>
        <w:spacing w:after="0" w:line="360" w:lineRule="auto"/>
        <w:jc w:val="center"/>
        <w:rPr>
          <w:rFonts w:ascii="Arial" w:hAnsi="Arial" w:cs="Arial"/>
          <w:b/>
          <w:bCs/>
          <w:vanish/>
          <w:color w:val="B35E06" w:themeColor="accent1" w:themeShade="BF"/>
          <w:szCs w:val="24"/>
          <w:lang w:val="es-MX"/>
        </w:rPr>
      </w:pPr>
      <w:bookmarkStart w:id="46" w:name="_Toc338654"/>
      <w:bookmarkStart w:id="47" w:name="_Toc778877"/>
      <w:bookmarkStart w:id="48" w:name="_Toc779018"/>
      <w:bookmarkStart w:id="49" w:name="_Toc1379640"/>
      <w:bookmarkStart w:id="50" w:name="_Toc1380863"/>
      <w:bookmarkStart w:id="51" w:name="_Toc2071032"/>
      <w:bookmarkStart w:id="52" w:name="_Toc5180103"/>
      <w:bookmarkStart w:id="53" w:name="_Toc5180181"/>
      <w:bookmarkStart w:id="54" w:name="_Toc5262816"/>
      <w:bookmarkStart w:id="55" w:name="_Toc5263077"/>
      <w:bookmarkStart w:id="56" w:name="_Toc5263204"/>
      <w:bookmarkStart w:id="57" w:name="_Toc5263842"/>
      <w:bookmarkStart w:id="58" w:name="_Toc5263890"/>
      <w:bookmarkStart w:id="59" w:name="_Toc5263942"/>
      <w:bookmarkStart w:id="60" w:name="_Toc5273347"/>
      <w:bookmarkStart w:id="61" w:name="_Toc5277922"/>
      <w:bookmarkStart w:id="62" w:name="_Toc5371730"/>
      <w:bookmarkStart w:id="63" w:name="_Toc53717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97434" w:rsidRPr="00591067" w:rsidRDefault="00E97434" w:rsidP="00E97434">
      <w:pPr>
        <w:pStyle w:val="Ttulo2"/>
        <w:spacing w:line="360" w:lineRule="auto"/>
        <w:jc w:val="center"/>
        <w:rPr>
          <w:rFonts w:ascii="Arial" w:hAnsi="Arial" w:cs="Arial"/>
          <w:vanish/>
          <w:color w:val="B35E06" w:themeColor="accent1" w:themeShade="BF"/>
        </w:rPr>
      </w:pPr>
      <w:bookmarkStart w:id="64" w:name="_Toc5371746"/>
      <w:bookmarkStart w:id="65" w:name="_Toc5263205"/>
      <w:bookmarkStart w:id="66" w:name="_Toc5180182"/>
      <w:bookmarkStart w:id="67" w:name="_Toc1380864"/>
      <w:bookmarkStart w:id="68" w:name="_Toc779019"/>
      <w:bookmarkStart w:id="69" w:name="_Toc338655"/>
      <w:bookmarkStart w:id="70" w:name="_Toc1379641"/>
      <w:bookmarkStart w:id="71" w:name="_Toc2071033"/>
      <w:bookmarkStart w:id="72" w:name="_Toc11316583"/>
      <w:bookmarkStart w:id="73" w:name="_Toc13479249"/>
      <w:bookmarkStart w:id="74" w:name="_Toc13479883"/>
      <w:bookmarkStart w:id="75" w:name="_Toc13480932"/>
      <w:bookmarkStart w:id="76" w:name="_Toc15894290"/>
      <w:bookmarkStart w:id="77" w:name="_Toc15988537"/>
      <w:bookmarkStart w:id="78" w:name="_Toc16504412"/>
      <w:bookmarkStart w:id="79" w:name="_Toc29981009"/>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0" w:name="_Toc524446387"/>
      <w:bookmarkStart w:id="81" w:name="_Toc524519068"/>
      <w:bookmarkStart w:id="82" w:name="_Toc524519163"/>
      <w:bookmarkStart w:id="83" w:name="_Toc524446390"/>
      <w:bookmarkStart w:id="84" w:name="_Toc524519071"/>
      <w:bookmarkStart w:id="85" w:name="_Toc524519166"/>
      <w:bookmarkEnd w:id="4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97434" w:rsidRPr="00591067" w:rsidRDefault="00E97434" w:rsidP="00E97434">
      <w:pPr>
        <w:spacing w:after="0" w:line="360" w:lineRule="auto"/>
        <w:jc w:val="center"/>
        <w:rPr>
          <w:rFonts w:ascii="Arial" w:hAnsi="Arial" w:cs="Arial"/>
          <w:color w:val="B35E06" w:themeColor="accent1" w:themeShade="BF"/>
          <w:szCs w:val="24"/>
        </w:rPr>
      </w:pPr>
      <w:bookmarkStart w:id="86" w:name="_Toc524947297"/>
      <w:bookmarkStart w:id="87" w:name="_Toc525683586"/>
      <w:bookmarkStart w:id="88" w:name="_Toc525686134"/>
      <w:bookmarkStart w:id="89" w:name="_Toc525808260"/>
      <w:bookmarkStart w:id="90" w:name="_Toc525808291"/>
      <w:bookmarkStart w:id="91" w:name="_Toc525808454"/>
      <w:bookmarkStart w:id="92" w:name="_Toc524947298"/>
      <w:bookmarkStart w:id="93" w:name="_Toc525683587"/>
      <w:bookmarkStart w:id="94" w:name="_Toc525686135"/>
      <w:bookmarkStart w:id="95" w:name="_Toc525808261"/>
      <w:bookmarkStart w:id="96" w:name="_Toc525808292"/>
      <w:bookmarkStart w:id="97" w:name="_Toc525808455"/>
      <w:bookmarkStart w:id="98" w:name="_Toc524947299"/>
      <w:bookmarkStart w:id="99" w:name="_Toc525683588"/>
      <w:bookmarkStart w:id="100" w:name="_Toc525686136"/>
      <w:bookmarkStart w:id="101" w:name="_Toc525808262"/>
      <w:bookmarkStart w:id="102" w:name="_Toc525808293"/>
      <w:bookmarkStart w:id="103" w:name="_Toc525808456"/>
      <w:bookmarkStart w:id="104" w:name="_Toc524947300"/>
      <w:bookmarkStart w:id="105" w:name="_Toc525683589"/>
      <w:bookmarkStart w:id="106" w:name="_Toc525808294"/>
      <w:bookmarkStart w:id="107" w:name="_Toc525808457"/>
      <w:bookmarkStart w:id="108" w:name="_Toc5305037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97434" w:rsidRPr="00094A5D" w:rsidRDefault="00E97434" w:rsidP="00E97434">
      <w:pPr>
        <w:pStyle w:val="Ttulo3"/>
        <w:jc w:val="center"/>
        <w:rPr>
          <w:rFonts w:ascii="Arial" w:hAnsi="Arial" w:cs="Arial"/>
          <w:b w:val="0"/>
          <w:color w:val="B35E06" w:themeColor="accent1" w:themeShade="BF"/>
        </w:rPr>
      </w:pPr>
      <w:bookmarkStart w:id="109" w:name="_Toc5371747"/>
      <w:bookmarkStart w:id="110" w:name="_Toc5263206"/>
      <w:bookmarkStart w:id="111" w:name="_Toc5180183"/>
      <w:bookmarkStart w:id="112" w:name="_Toc1380865"/>
      <w:bookmarkStart w:id="113" w:name="_Toc779020"/>
      <w:bookmarkStart w:id="114" w:name="_Toc536439469"/>
      <w:bookmarkStart w:id="115" w:name="_Toc338656"/>
      <w:bookmarkStart w:id="116" w:name="_Toc1379642"/>
      <w:bookmarkStart w:id="117" w:name="_Toc2071034"/>
      <w:bookmarkStart w:id="118" w:name="_Toc11316584"/>
      <w:bookmarkStart w:id="119" w:name="_Toc13479250"/>
      <w:bookmarkStart w:id="120" w:name="_Toc13479884"/>
      <w:bookmarkStart w:id="121" w:name="_Toc13480933"/>
      <w:bookmarkStart w:id="122" w:name="_Toc15894291"/>
      <w:bookmarkStart w:id="123" w:name="_Toc15988538"/>
      <w:bookmarkStart w:id="124" w:name="_Toc16504413"/>
      <w:bookmarkStart w:id="125" w:name="_Toc29981010"/>
      <w:r w:rsidRPr="00094A5D">
        <w:rPr>
          <w:rFonts w:ascii="Arial" w:hAnsi="Arial" w:cs="Arial"/>
          <w:b w:val="0"/>
          <w:color w:val="B35E06" w:themeColor="accent1" w:themeShade="BF"/>
        </w:rPr>
        <w:t>SEMANARIO JUDICIAL DE LA FEDERACIÓN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97434" w:rsidRPr="00094A5D" w:rsidRDefault="00E97434" w:rsidP="00E97434"/>
    <w:p w:rsidR="00E97434" w:rsidRPr="00A91C82" w:rsidRDefault="00E97434" w:rsidP="00E97434">
      <w:pPr>
        <w:spacing w:after="0" w:line="240" w:lineRule="auto"/>
        <w:jc w:val="center"/>
        <w:rPr>
          <w:rFonts w:ascii="Arial" w:hAnsi="Arial" w:cs="Arial"/>
          <w:szCs w:val="24"/>
        </w:rPr>
      </w:pPr>
      <w:bookmarkStart w:id="126" w:name="_Toc525808458"/>
      <w:bookmarkStart w:id="127" w:name="_Toc525808295"/>
      <w:bookmarkStart w:id="128" w:name="_Toc525683590"/>
      <w:bookmarkStart w:id="129" w:name="_Toc524947301"/>
      <w:bookmarkStart w:id="130" w:name="_Toc530503785"/>
      <w:bookmarkEnd w:id="104"/>
      <w:bookmarkEnd w:id="105"/>
      <w:bookmarkEnd w:id="106"/>
      <w:bookmarkEnd w:id="107"/>
      <w:bookmarkEnd w:id="108"/>
      <w:r w:rsidRPr="00A91C82">
        <w:rPr>
          <w:rFonts w:ascii="Arial" w:hAnsi="Arial" w:cs="Arial"/>
          <w:bCs/>
          <w:szCs w:val="24"/>
        </w:rPr>
        <w:t>(https://sjf.scjn.gob.mx/SJFSem/Paginas/SemanarioV5.aspx</w:t>
      </w:r>
      <w:bookmarkEnd w:id="126"/>
      <w:bookmarkEnd w:id="127"/>
      <w:bookmarkEnd w:id="128"/>
      <w:bookmarkEnd w:id="129"/>
      <w:r w:rsidRPr="00A91C82">
        <w:rPr>
          <w:rFonts w:ascii="Arial" w:hAnsi="Arial" w:cs="Arial"/>
          <w:bCs/>
          <w:szCs w:val="24"/>
        </w:rPr>
        <w:t>)</w:t>
      </w:r>
      <w:bookmarkEnd w:id="130"/>
    </w:p>
    <w:p w:rsidR="00E97434" w:rsidRDefault="00E97434" w:rsidP="00E97434">
      <w:pPr>
        <w:spacing w:after="0" w:line="240" w:lineRule="auto"/>
        <w:jc w:val="both"/>
        <w:rPr>
          <w:rFonts w:ascii="Arial" w:hAnsi="Arial" w:cs="Arial"/>
        </w:rPr>
      </w:pPr>
    </w:p>
    <w:p w:rsidR="00E97434" w:rsidRPr="00E97078" w:rsidRDefault="00E97434" w:rsidP="00E97434">
      <w:pPr>
        <w:spacing w:after="0" w:line="240" w:lineRule="auto"/>
        <w:jc w:val="both"/>
        <w:rPr>
          <w:rFonts w:ascii="Arial" w:hAnsi="Arial" w:cs="Arial"/>
        </w:rPr>
      </w:pPr>
    </w:p>
    <w:p w:rsidR="00CB1079" w:rsidRPr="00771F92" w:rsidRDefault="00CB1079" w:rsidP="00771F92">
      <w:pPr>
        <w:spacing w:after="0" w:line="240" w:lineRule="auto"/>
        <w:jc w:val="both"/>
        <w:rPr>
          <w:rFonts w:ascii="Arial" w:hAnsi="Arial" w:cs="Arial"/>
        </w:rPr>
      </w:pPr>
    </w:p>
    <w:sectPr w:rsidR="00CB1079" w:rsidRPr="00771F92"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78" w:rsidRDefault="00C73D78">
      <w:pPr>
        <w:spacing w:after="0" w:line="240" w:lineRule="auto"/>
      </w:pPr>
      <w:r>
        <w:separator/>
      </w:r>
    </w:p>
  </w:endnote>
  <w:endnote w:type="continuationSeparator" w:id="0">
    <w:p w:rsidR="00C73D78" w:rsidRDefault="00C7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78" w:rsidRDefault="00C73D78">
      <w:pPr>
        <w:spacing w:after="0" w:line="240" w:lineRule="auto"/>
      </w:pPr>
      <w:r>
        <w:separator/>
      </w:r>
    </w:p>
  </w:footnote>
  <w:footnote w:type="continuationSeparator" w:id="0">
    <w:p w:rsidR="00C73D78" w:rsidRDefault="00C7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FDA42F8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37B09"/>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9513C"/>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71F92"/>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78"/>
    <w:rsid w:val="00C73DCF"/>
    <w:rsid w:val="00C764D7"/>
    <w:rsid w:val="00CA6B4F"/>
    <w:rsid w:val="00CB1079"/>
    <w:rsid w:val="00CB208F"/>
    <w:rsid w:val="00CC0644"/>
    <w:rsid w:val="00CD28BF"/>
    <w:rsid w:val="00D23A89"/>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97434"/>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2802B139-05E6-483D-AEDD-92A3AED8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2020-01-14T20:31:00Z</dcterms:created>
  <dcterms:modified xsi:type="dcterms:W3CDTF">2020-01-15T17:44:00Z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